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480" w:lineRule="auto"/>
        <w:ind w:firstLine="643" w:firstLineChars="200"/>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lang w:eastAsia="zh-CN"/>
        </w:rPr>
        <w:t>珠海力合光电产业园项目高低压变配电工程</w:t>
      </w:r>
      <w:r>
        <w:rPr>
          <w:rFonts w:hint="eastAsia" w:ascii="宋体" w:hAnsi="宋体" w:eastAsia="宋体" w:cs="宋体"/>
          <w:b/>
          <w:bCs/>
          <w:sz w:val="32"/>
          <w:szCs w:val="32"/>
        </w:rPr>
        <w:t>招标公告</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一、工程名称：</w:t>
      </w:r>
      <w:r>
        <w:rPr>
          <w:rFonts w:hint="eastAsia" w:ascii="宋体" w:hAnsi="宋体" w:eastAsia="宋体" w:cs="宋体"/>
          <w:sz w:val="24"/>
          <w:szCs w:val="24"/>
          <w:u w:val="single"/>
          <w:lang w:eastAsia="zh-CN"/>
        </w:rPr>
        <w:t>珠海力合光电产业园项目高低压变配电工程</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二、招标单位：</w:t>
      </w:r>
      <w:r>
        <w:rPr>
          <w:rFonts w:hint="eastAsia" w:ascii="宋体" w:hAnsi="宋体" w:eastAsia="宋体" w:cs="宋体"/>
          <w:sz w:val="24"/>
          <w:szCs w:val="24"/>
          <w:u w:val="single"/>
        </w:rPr>
        <w:t>珠海力合光电产业发展有限公司</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三、建设地点：</w:t>
      </w:r>
      <w:r>
        <w:rPr>
          <w:rFonts w:hint="eastAsia" w:ascii="宋体" w:hAnsi="宋体" w:eastAsia="宋体" w:cs="宋体"/>
          <w:sz w:val="24"/>
          <w:szCs w:val="24"/>
          <w:u w:val="single"/>
        </w:rPr>
        <w:t>珠海市香洲区三溪科创小镇</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四、项目概况：</w:t>
      </w:r>
      <w:r>
        <w:rPr>
          <w:rFonts w:hint="eastAsia" w:ascii="宋体" w:hAnsi="宋体" w:eastAsia="宋体" w:cs="宋体"/>
          <w:sz w:val="24"/>
          <w:szCs w:val="24"/>
          <w:u w:val="single"/>
        </w:rPr>
        <w:t>项目占地面积30674.21㎡，容积率4.0，总建筑面积142435.20㎡，其中计容建筑面积122696.84㎡，地下建筑面积18396.65㎡；项目由2栋产业用房（生产制造）、1栋产业用房（研发设计）、2栋宿舍及配套用房和地下室组成。</w:t>
      </w:r>
      <w:r>
        <w:rPr>
          <w:rFonts w:hint="eastAsia" w:ascii="宋体" w:hAnsi="宋体" w:eastAsia="宋体" w:cs="宋体"/>
          <w:sz w:val="24"/>
          <w:szCs w:val="24"/>
          <w:u w:val="single"/>
          <w:lang w:val="en-US" w:eastAsia="zh-CN"/>
        </w:rPr>
        <w:t>本项目</w:t>
      </w:r>
      <w:r>
        <w:rPr>
          <w:rFonts w:hint="eastAsia" w:ascii="宋体" w:hAnsi="宋体" w:eastAsia="宋体" w:cs="宋体"/>
          <w:sz w:val="24"/>
          <w:szCs w:val="24"/>
          <w:u w:val="single"/>
        </w:rPr>
        <w:t>用电总负荷约为</w:t>
      </w:r>
      <w:r>
        <w:rPr>
          <w:rFonts w:hint="eastAsia" w:ascii="宋体" w:hAnsi="宋体" w:eastAsia="宋体" w:cs="宋体"/>
          <w:sz w:val="24"/>
          <w:szCs w:val="24"/>
          <w:u w:val="single"/>
          <w:lang w:val="en-US" w:eastAsia="zh-CN"/>
        </w:rPr>
        <w:t>19660</w:t>
      </w:r>
      <w:r>
        <w:rPr>
          <w:rFonts w:hint="eastAsia" w:ascii="宋体" w:hAnsi="宋体" w:eastAsia="宋体" w:cs="宋体"/>
          <w:sz w:val="24"/>
          <w:szCs w:val="24"/>
          <w:u w:val="single"/>
        </w:rPr>
        <w:t>KvA。</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五、标段划分及各标段招标内容、规模和最高投标限价：</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1、标段划分：</w:t>
      </w:r>
      <w:r>
        <w:rPr>
          <w:rFonts w:hint="eastAsia" w:ascii="宋体" w:hAnsi="宋体" w:eastAsia="宋体" w:cs="宋体"/>
          <w:sz w:val="24"/>
          <w:szCs w:val="24"/>
          <w:u w:val="single"/>
        </w:rPr>
        <w:t>本工程划分为 1 个标段</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招标内容、规模：</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珠海力合光电产业园高低压变配电工程，按招标图纸及工程量清单所含内容，包括但不限于：</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高低压变配电房工程：各区域高低压变配电房内变压器、高低压变配电柜、直流屏等设备及设备间的连接电缆、母线槽、高压桥架、电气配管、空调、接地系统等采购及安装，配电房安健环内容（包括绝缘手套、绝缘靴、绝缘棒、防鼠网、挡鼠板、绝缘胶垫、工具箱、标志牌、灭火器箱、高低压系统操作指示挂图板等满足供电部门安健环要求的所有内容）；</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（2）高压线缆工程：3#首层公共环网室（开关站）出线柜后与各区域高低压变配电房之间以及各区域高低压变配电房之间的连接电缆、高压桥架的采购及安装（含地下室穿墙开洞、墙面修复及防火封堵）等；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（3）柴油发电机组工程：成套发电机组采购及安装、调试，以及</w:t>
      </w:r>
      <w:r>
        <w:rPr>
          <w:rFonts w:hint="eastAsia" w:ascii="宋体" w:hAnsi="宋体" w:eastAsia="宋体" w:cs="宋体"/>
          <w:sz w:val="24"/>
          <w:szCs w:val="24"/>
          <w:u w:val="single"/>
          <w:lang w:eastAsia="zh-CN"/>
        </w:rPr>
        <w:t>发电机组</w:t>
      </w:r>
      <w:r>
        <w:rPr>
          <w:rFonts w:hint="eastAsia" w:ascii="宋体" w:hAnsi="宋体" w:eastAsia="宋体" w:cs="宋体"/>
          <w:sz w:val="24"/>
          <w:szCs w:val="24"/>
          <w:u w:val="single"/>
          <w:lang w:val="en-US" w:eastAsia="zh-CN"/>
        </w:rPr>
        <w:t>启动柜至低压配电房发电机切换柜、</w:t>
      </w:r>
      <w:r>
        <w:rPr>
          <w:rFonts w:hint="eastAsia" w:ascii="宋体" w:hAnsi="宋体" w:eastAsia="宋体" w:cs="宋体"/>
          <w:sz w:val="24"/>
          <w:szCs w:val="24"/>
          <w:u w:val="single"/>
          <w:lang w:eastAsia="zh-CN"/>
        </w:rPr>
        <w:t>消防电源之间的电缆、母线槽、控制线、信号连接线、</w:t>
      </w:r>
      <w:r>
        <w:rPr>
          <w:rFonts w:hint="eastAsia" w:ascii="宋体" w:hAnsi="宋体" w:eastAsia="宋体" w:cs="宋体"/>
          <w:sz w:val="24"/>
          <w:szCs w:val="24"/>
          <w:u w:val="single"/>
          <w:lang w:val="en-US" w:eastAsia="zh-CN"/>
        </w:rPr>
        <w:t>配管</w:t>
      </w:r>
      <w:r>
        <w:rPr>
          <w:rFonts w:hint="eastAsia" w:ascii="宋体" w:hAnsi="宋体" w:eastAsia="宋体" w:cs="宋体"/>
          <w:sz w:val="24"/>
          <w:szCs w:val="24"/>
          <w:u w:val="single"/>
          <w:lang w:eastAsia="zh-CN"/>
        </w:rPr>
        <w:t>等安装，</w:t>
      </w:r>
      <w:r>
        <w:rPr>
          <w:rFonts w:hint="eastAsia" w:ascii="宋体" w:hAnsi="宋体" w:eastAsia="宋体" w:cs="宋体"/>
          <w:sz w:val="24"/>
          <w:szCs w:val="24"/>
          <w:u w:val="single"/>
          <w:lang w:val="en-US" w:eastAsia="zh-CN"/>
        </w:rPr>
        <w:t>发电机房环保装修、发电机房降噪音及尾气净化工程、储油池处理等；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（4）其他：</w:t>
      </w:r>
      <w:r>
        <w:rPr>
          <w:rFonts w:hint="eastAsia" w:ascii="宋体" w:hAnsi="宋体" w:eastAsia="宋体" w:cs="宋体"/>
          <w:sz w:val="24"/>
          <w:szCs w:val="24"/>
          <w:u w:val="single"/>
          <w:lang w:eastAsia="zh-CN"/>
        </w:rPr>
        <w:t>所有进出配电房管道、</w:t>
      </w:r>
      <w:r>
        <w:rPr>
          <w:rFonts w:hint="eastAsia" w:ascii="宋体" w:hAnsi="宋体" w:eastAsia="宋体" w:cs="宋体"/>
          <w:sz w:val="24"/>
          <w:szCs w:val="24"/>
          <w:u w:val="single"/>
          <w:lang w:val="en-US" w:eastAsia="zh-CN"/>
        </w:rPr>
        <w:t>桥架</w:t>
      </w:r>
      <w:r>
        <w:rPr>
          <w:rFonts w:hint="eastAsia" w:ascii="宋体" w:hAnsi="宋体" w:eastAsia="宋体" w:cs="宋体"/>
          <w:sz w:val="24"/>
          <w:szCs w:val="24"/>
          <w:u w:val="single"/>
          <w:lang w:eastAsia="zh-CN"/>
        </w:rPr>
        <w:t>的封堵、防水、</w:t>
      </w:r>
      <w:r>
        <w:rPr>
          <w:rFonts w:hint="eastAsia" w:ascii="宋体" w:hAnsi="宋体" w:eastAsia="宋体" w:cs="宋体"/>
          <w:sz w:val="24"/>
          <w:szCs w:val="24"/>
          <w:u w:val="single"/>
          <w:lang w:val="en-US" w:eastAsia="zh-CN"/>
        </w:rPr>
        <w:t>防火、防虫鼠</w:t>
      </w:r>
      <w:r>
        <w:rPr>
          <w:rFonts w:hint="eastAsia" w:ascii="宋体" w:hAnsi="宋体" w:eastAsia="宋体" w:cs="宋体"/>
          <w:sz w:val="24"/>
          <w:szCs w:val="24"/>
          <w:u w:val="single"/>
          <w:lang w:eastAsia="zh-CN"/>
        </w:rPr>
        <w:t>等工程，</w:t>
      </w:r>
      <w:r>
        <w:rPr>
          <w:rFonts w:hint="eastAsia" w:ascii="宋体" w:hAnsi="宋体" w:eastAsia="宋体" w:cs="宋体"/>
          <w:sz w:val="24"/>
          <w:szCs w:val="24"/>
          <w:u w:val="single"/>
          <w:lang w:val="en-US" w:eastAsia="zh-CN"/>
        </w:rPr>
        <w:t>按图纸要求接收总包的土建条件，并做好成品保护，协助配合总包，保证公共环网室的土建条件顺利移交供电局等；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（5）办理本工程供电方案报批报审、供电报装报建、验收（包括电源质量检测等现场机电绿建节能验收、发电机环保验收</w:t>
      </w:r>
      <w:bookmarkStart w:id="1" w:name="_GoBack"/>
      <w:bookmarkEnd w:id="1"/>
      <w:r>
        <w:rPr>
          <w:rFonts w:hint="eastAsia" w:ascii="宋体" w:hAnsi="宋体" w:eastAsia="宋体" w:cs="宋体"/>
          <w:sz w:val="24"/>
          <w:szCs w:val="24"/>
          <w:u w:val="single"/>
          <w:lang w:val="en-US" w:eastAsia="zh-CN"/>
        </w:rPr>
        <w:t>等所有必须检测项目报告）、调试、送电、通电以及完成本工程所有需要的全部相关手续；与珠海市供电局对接完成10KV公共环网室的建设安装及通电（2024年7月30日前完成项目通电）；</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（6）具体详见招标图纸及工程量清单。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以上工程内容及工程量发包人有权进行调整（增加或减少），承包人须无条件执行，其涉及调整工程内容对应的金额按实结算，不得因此提出费用和工期的索赔。</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最高投标限价：</w:t>
      </w:r>
      <w:r>
        <w:rPr>
          <w:rFonts w:hint="eastAsia" w:ascii="宋体" w:hAnsi="宋体" w:eastAsia="宋体" w:cs="宋体"/>
          <w:sz w:val="24"/>
          <w:szCs w:val="24"/>
          <w:u w:val="single"/>
        </w:rPr>
        <w:t>以珠海公共资源交易中心公示为准</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、投标人</w:t>
      </w:r>
      <w:r>
        <w:rPr>
          <w:rFonts w:hint="eastAsia" w:ascii="宋体" w:hAnsi="宋体" w:eastAsia="宋体" w:cs="宋体"/>
          <w:sz w:val="24"/>
          <w:szCs w:val="24"/>
          <w:lang w:val="en-US" w:eastAsia="zh-CN"/>
        </w:rPr>
        <w:t>资格要求</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bookmarkStart w:id="0" w:name="_Hlk122362283"/>
      <w:r>
        <w:rPr>
          <w:rFonts w:hint="eastAsia" w:ascii="宋体" w:hAnsi="宋体" w:eastAsia="宋体" w:cs="宋体"/>
          <w:sz w:val="24"/>
          <w:szCs w:val="24"/>
          <w:u w:val="single"/>
        </w:rPr>
        <w:t>1、</w:t>
      </w:r>
      <w:bookmarkEnd w:id="0"/>
      <w:r>
        <w:rPr>
          <w:rFonts w:hint="eastAsia" w:ascii="宋体" w:hAnsi="宋体" w:eastAsia="宋体" w:cs="宋体"/>
          <w:sz w:val="24"/>
          <w:szCs w:val="24"/>
          <w:u w:val="single"/>
          <w:lang w:val="en-US" w:eastAsia="zh-CN"/>
        </w:rPr>
        <w:t>具有国家能源局各监管局颁发的《承装（修、试）电力设施许可证》承装伍级或以上资质。</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2、具有有效的安全生产许可证（内地投标人适用）。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3、具有独立的法人资格。</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4、拟派项目负责人具有建设行政主管部门颁发的[ 机电工程 ]专业[ 壹 ]级注册建造师资格和有效的安全生产B类证书。</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5、不接受联合体投标人。</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6、其它事项：[根据《住房和城乡建设部办公厅关于全面实行一级建造师电子注册证书的通知》（建办市〔2021〕40号），自2022年1月1日起，一级建造师统一使用电子证书，纸质注册证书作废。一级建造师打印电子证书后，应在个人签名处手写本人签名，未手写签名或与签名图像笔迹不一致的，该电子证书无效。电子证书未在使用有效期内或未加盖颁发机构有效印章的，该电子证书无效。]。</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七、其他</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本次招标公告内容具体以珠海市公共资源交易网发布为准。</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p>
    <w:sectPr>
      <w:footerReference r:id="rId5"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UzOTcyYzk0MTM3ZjU4MmJkYzY3MDBmNzdjMzM0ZWQifQ=="/>
  </w:docVars>
  <w:rsids>
    <w:rsidRoot w:val="00000000"/>
    <w:rsid w:val="032B053F"/>
    <w:rsid w:val="09F064E7"/>
    <w:rsid w:val="231452E5"/>
    <w:rsid w:val="2E0D6781"/>
    <w:rsid w:val="38626AD2"/>
    <w:rsid w:val="4476516C"/>
    <w:rsid w:val="5C1A523F"/>
    <w:rsid w:val="6025396A"/>
    <w:rsid w:val="703E2CBE"/>
    <w:rsid w:val="75943670"/>
    <w:rsid w:val="7B8D6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样式 小四 行距: 1.5 倍行距"/>
    <w:basedOn w:val="1"/>
    <w:autoRedefine/>
    <w:qFormat/>
    <w:uiPriority w:val="0"/>
    <w:pPr>
      <w:ind w:firstLine="48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2023-11-02T14:28:00Z</dcterms:created>
  <dc:creator>NTKO</dc:creator>
  <cp:lastModifiedBy>WPS_1623137837</cp:lastModifiedBy>
  <dcterms:modified xsi:type="dcterms:W3CDTF">2024-03-18T01:45:08Z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2024-03-12T16:53:59Z</vt:filetime>
  </property>
  <property fmtid="{D5CDD505-2E9C-101B-9397-08002B2CF9AE}" pid="4" name="KSOProductBuildVer">
    <vt:lpwstr>2052-12.1.0.16388</vt:lpwstr>
  </property>
  <property fmtid="{D5CDD505-2E9C-101B-9397-08002B2CF9AE}" pid="5" name="ICV">
    <vt:lpwstr>8B935149B03245E98157424F14A27F15_13</vt:lpwstr>
  </property>
</Properties>
</file>